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57" w:rsidRDefault="007F0357" w:rsidP="007F0357">
      <w:pPr>
        <w:jc w:val="center"/>
      </w:pPr>
      <w:r>
        <w:t>ОБОСНОВАНИЕ АКТУАЛИЗАЦИИ ПРОФЕССИОНАЛЬНОГО СТАНДАРТА «</w:t>
      </w:r>
      <w:r>
        <w:t>СПЕЦИАЛИСТ ПО СТРАХОВАНИЮ</w:t>
      </w:r>
      <w:r>
        <w:t>»</w:t>
      </w: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РАЗДЕЛ 1.</w:t>
      </w:r>
      <w:r w:rsidRPr="007F0357">
        <w:rPr>
          <w:rFonts w:ascii="Times New Roman" w:hAnsi="Times New Roman" w:cs="Times New Roman"/>
          <w:sz w:val="24"/>
          <w:szCs w:val="24"/>
        </w:rPr>
        <w:tab/>
        <w:t>Общая характеристика вида профессиональной деятельности</w:t>
      </w:r>
      <w:r w:rsidRPr="007F0357">
        <w:rPr>
          <w:rFonts w:ascii="Times New Roman" w:hAnsi="Times New Roman" w:cs="Times New Roman"/>
          <w:sz w:val="24"/>
          <w:szCs w:val="24"/>
        </w:rPr>
        <w:tab/>
      </w:r>
    </w:p>
    <w:p w:rsidR="007F0357" w:rsidRPr="007F0357" w:rsidRDefault="007F0357" w:rsidP="007F0357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57">
        <w:rPr>
          <w:rFonts w:ascii="Times New Roman" w:hAnsi="Times New Roman" w:cs="Times New Roman"/>
          <w:b/>
          <w:sz w:val="24"/>
          <w:szCs w:val="24"/>
        </w:rPr>
        <w:t>Информация о перспективах развития вида профессиональной деятельности.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 xml:space="preserve">Инициатором их разработки выступил Всероссийский Союз Страховщиков (ВСС). Речь идет о подготовке пяти новых </w:t>
      </w:r>
      <w:proofErr w:type="spellStart"/>
      <w:r w:rsidRPr="007F0357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7F0357">
        <w:rPr>
          <w:rFonts w:ascii="Times New Roman" w:hAnsi="Times New Roman" w:cs="Times New Roman"/>
          <w:sz w:val="24"/>
          <w:szCs w:val="24"/>
        </w:rPr>
        <w:t>: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- специалист по оценке рисков (андеррайтер) в сферах имущественного страхования и страхования жизни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- специалист по инвестиционной работе в сфере обязательного и добровольного страхования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- специалист по перестрахованию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- специалист по продаже страховых услуг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- специалист по урегулированию страховых споров (убытков).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 xml:space="preserve">Стандарты разрабатываются в рамках реализации Указа Президента РФ от 7 мая 2012 года №597 «О мероприятиях о реализации государственной социальной политики», в соответствии с Постановлением Правительства РФ от 22 января 2013 года №23 «О правилах разработки, утверждения и применения профессиональных стандартов» и ФЗ №122 Ф3 «О внесении изменений в ТК РФ </w:t>
      </w:r>
      <w:proofErr w:type="gramStart"/>
      <w:r w:rsidRPr="007F0357">
        <w:rPr>
          <w:rFonts w:ascii="Times New Roman" w:hAnsi="Times New Roman" w:cs="Times New Roman"/>
          <w:sz w:val="24"/>
          <w:szCs w:val="24"/>
        </w:rPr>
        <w:t>и  ст.</w:t>
      </w:r>
      <w:proofErr w:type="gramEnd"/>
      <w:r w:rsidRPr="007F0357">
        <w:rPr>
          <w:rFonts w:ascii="Times New Roman" w:hAnsi="Times New Roman" w:cs="Times New Roman"/>
          <w:sz w:val="24"/>
          <w:szCs w:val="24"/>
        </w:rPr>
        <w:t xml:space="preserve"> 11, 73 ФЗ «Об образовании в РФ».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 xml:space="preserve">Начиная с 1 июля 2016 года вступают в силу изменения в Трудовой Кодекс РФ, которые предполагают обязательное применение работодателями, утвержденных профессиональных стандартов, если Федеральные законы определяют квалификационные требования к профессии. В иных случаях </w:t>
      </w:r>
      <w:proofErr w:type="spellStart"/>
      <w:r w:rsidRPr="007F0357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7F0357">
        <w:rPr>
          <w:rFonts w:ascii="Times New Roman" w:hAnsi="Times New Roman" w:cs="Times New Roman"/>
          <w:sz w:val="24"/>
          <w:szCs w:val="24"/>
        </w:rPr>
        <w:t xml:space="preserve"> должны будут применяться работодателями (страховщиками и страховыми брокерами) в качестве основы для разработки квалификационных требований к сотрудникам, с учетом специфики деятельности.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Изменения в ФЗ «Об образовании в РФ», устанавливают новый порядок «взаимодействия» образования и профессиональной деятельности, в соответствии с которыми программы профессиональной подготовки и требования образовательных стандартов будут разрабатываться на основе утвержденных профессиональных стандартов.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 xml:space="preserve">Генеральный директор ИФРУ Виктор </w:t>
      </w:r>
      <w:proofErr w:type="spellStart"/>
      <w:r w:rsidRPr="007F0357">
        <w:rPr>
          <w:rFonts w:ascii="Times New Roman" w:hAnsi="Times New Roman" w:cs="Times New Roman"/>
          <w:sz w:val="24"/>
          <w:szCs w:val="24"/>
        </w:rPr>
        <w:t>Майданюк</w:t>
      </w:r>
      <w:proofErr w:type="spellEnd"/>
      <w:r w:rsidRPr="007F0357">
        <w:rPr>
          <w:rFonts w:ascii="Times New Roman" w:hAnsi="Times New Roman" w:cs="Times New Roman"/>
          <w:sz w:val="24"/>
          <w:szCs w:val="24"/>
        </w:rPr>
        <w:t>, в частности отметил: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 xml:space="preserve">«Из 420 утвержденных на сегодняшний день </w:t>
      </w:r>
      <w:proofErr w:type="spellStart"/>
      <w:r w:rsidRPr="007F0357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7F0357">
        <w:rPr>
          <w:rFonts w:ascii="Times New Roman" w:hAnsi="Times New Roman" w:cs="Times New Roman"/>
          <w:sz w:val="24"/>
          <w:szCs w:val="24"/>
        </w:rPr>
        <w:t xml:space="preserve"> непосредственно страховой деятельности касается только один - «Специалист по страхованию». Кроме того, есть стандарт «Страховой брокер». Очевидно, что такая сложная отрасль экономики, как страхование, объективно нуждается в привлечении и подготовке профессионалов более узких специализаций. Те пять профессий, стандарты которых мы разрабатываем, - это тоже неполный перечень, однако это, те специализации, которые сегодня наиболее нужны страховой отрасли. Они были обозначены в качестве приоритетных Всероссийским Союзом Страховщиков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lastRenderedPageBreak/>
        <w:t>Первый этап нашей работы - это разработка проектов стандартов с участием специалистов и экспертов из страховой отрасли. Мы обязательно направим проекты на согласование в Банк России, который уже более двух лет является надзорным и регулирующим органом в сфере страхования. После утверждения в Национальном Совете по профессиональным квалификациям и в Минтруде РФ стандарты могут использоваться страховыми компаниями для разработки собственных критериев подбора персонала.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 xml:space="preserve">Уже сегодня мы совместно с профессиональным сообществом продумываем возможное сотрудничество на следующем этапе, когда на основе утвержденных </w:t>
      </w:r>
      <w:proofErr w:type="spellStart"/>
      <w:r w:rsidRPr="007F0357">
        <w:rPr>
          <w:rFonts w:ascii="Times New Roman" w:hAnsi="Times New Roman" w:cs="Times New Roman"/>
          <w:sz w:val="24"/>
          <w:szCs w:val="24"/>
        </w:rPr>
        <w:t>профетандартов</w:t>
      </w:r>
      <w:proofErr w:type="spellEnd"/>
      <w:r w:rsidRPr="007F0357">
        <w:rPr>
          <w:rFonts w:ascii="Times New Roman" w:hAnsi="Times New Roman" w:cs="Times New Roman"/>
          <w:sz w:val="24"/>
          <w:szCs w:val="24"/>
        </w:rPr>
        <w:t xml:space="preserve"> надо будет готовить программы профессиональной подготовки специалистов. Эта задача полностью соответствует целям ВСС, который заинтересован в существенном повышении профессионального уровня работников страховой отрасли. Мы к такой работе готовы, занимаемся ею много лет. Но, сначала нам необходимо разработать качественные стандарты, которые будут востребованы страховым рынком России».</w:t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ab/>
      </w:r>
      <w:r w:rsidRPr="007F0357">
        <w:rPr>
          <w:rFonts w:ascii="Times New Roman" w:hAnsi="Times New Roman" w:cs="Times New Roman"/>
          <w:sz w:val="24"/>
          <w:szCs w:val="24"/>
        </w:rPr>
        <w:tab/>
      </w:r>
      <w:r w:rsidRPr="007F0357">
        <w:rPr>
          <w:rFonts w:ascii="Times New Roman" w:hAnsi="Times New Roman" w:cs="Times New Roman"/>
          <w:sz w:val="24"/>
          <w:szCs w:val="24"/>
        </w:rPr>
        <w:tab/>
      </w:r>
      <w:r w:rsidRPr="007F0357">
        <w:rPr>
          <w:rFonts w:ascii="Times New Roman" w:hAnsi="Times New Roman" w:cs="Times New Roman"/>
          <w:sz w:val="24"/>
          <w:szCs w:val="24"/>
        </w:rPr>
        <w:tab/>
      </w: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57" w:rsidRPr="007F0357" w:rsidRDefault="007F0357" w:rsidP="007F0357">
      <w:pPr>
        <w:numPr>
          <w:ilvl w:val="1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57">
        <w:rPr>
          <w:rFonts w:ascii="Times New Roman" w:hAnsi="Times New Roman" w:cs="Times New Roman"/>
          <w:b/>
          <w:sz w:val="24"/>
          <w:szCs w:val="24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квалификации.</w:t>
      </w:r>
    </w:p>
    <w:p w:rsidR="007F0357" w:rsidRPr="007F0357" w:rsidRDefault="007F0357" w:rsidP="007F03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b/>
          <w:sz w:val="24"/>
          <w:szCs w:val="24"/>
        </w:rPr>
        <w:t xml:space="preserve">Специалист по оценке рисков (андеррайтер) в страховании </w:t>
      </w:r>
    </w:p>
    <w:p w:rsidR="007F0357" w:rsidRPr="007F0357" w:rsidRDefault="007F0357" w:rsidP="007F035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0357" w:rsidRPr="007F0357" w:rsidSect="00F40D2A">
          <w:headerReference w:type="even" r:id="rId5"/>
          <w:headerReference w:type="default" r:id="rId6"/>
          <w:headerReference w:type="first" r:id="rId7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50"/>
        <w:gridCol w:w="1767"/>
        <w:gridCol w:w="1587"/>
        <w:gridCol w:w="3026"/>
        <w:gridCol w:w="828"/>
        <w:gridCol w:w="1587"/>
      </w:tblGrid>
      <w:tr w:rsidR="007F0357" w:rsidRPr="007F0357" w:rsidTr="00343941">
        <w:trPr>
          <w:jc w:val="center"/>
        </w:trPr>
        <w:tc>
          <w:tcPr>
            <w:tcW w:w="2089" w:type="pct"/>
            <w:gridSpan w:val="3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Обобщенные трудовые функции</w:t>
            </w:r>
          </w:p>
        </w:tc>
        <w:tc>
          <w:tcPr>
            <w:tcW w:w="2911" w:type="pct"/>
            <w:gridSpan w:val="3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5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9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19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3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9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45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андеррайтинга</w:t>
            </w:r>
            <w:proofErr w:type="spellEnd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рисков </w:t>
            </w:r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объектов и рисков </w:t>
            </w:r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оценка объектов /рисков </w:t>
            </w:r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45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андеррайтинга</w:t>
            </w:r>
            <w:proofErr w:type="spellEnd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условиям страхования, страховым суммам, тарифам, коэффициентам </w:t>
            </w:r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Принятие на страхование объектов/рисков или отказ в страховании</w:t>
            </w:r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7F0357" w:rsidRPr="007F0357" w:rsidRDefault="007F0357" w:rsidP="007F0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уменьшению вероятности наступления страхового события</w:t>
            </w:r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45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андеррайтингом</w:t>
            </w:r>
            <w:proofErr w:type="spellEnd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работы структурного подразделения по </w:t>
            </w:r>
            <w:proofErr w:type="spellStart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андеррайтингу</w:t>
            </w:r>
            <w:proofErr w:type="spellEnd"/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С/01.7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структурного подразделения/региональных отделений </w:t>
            </w:r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С/02.7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методических, организационных и технологических документов </w:t>
            </w:r>
            <w:proofErr w:type="gramStart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андеррайтингу</w:t>
            </w:r>
            <w:proofErr w:type="spellEnd"/>
            <w:proofErr w:type="gramEnd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С/03.7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поддержки по вопросам </w:t>
            </w:r>
            <w:proofErr w:type="spellStart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андеррайтинга</w:t>
            </w:r>
            <w:proofErr w:type="spellEnd"/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С/04.7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0357" w:rsidRPr="007F0357" w:rsidTr="00343941">
        <w:trPr>
          <w:jc w:val="center"/>
        </w:trPr>
        <w:tc>
          <w:tcPr>
            <w:tcW w:w="2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проведение аттестации </w:t>
            </w:r>
            <w:proofErr w:type="gramStart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сотрудников  подразделения</w:t>
            </w:r>
            <w:proofErr w:type="gramEnd"/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/региональных отделений</w:t>
            </w:r>
          </w:p>
        </w:tc>
        <w:tc>
          <w:tcPr>
            <w:tcW w:w="44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 xml:space="preserve">     С/05.7</w:t>
            </w:r>
          </w:p>
        </w:tc>
        <w:tc>
          <w:tcPr>
            <w:tcW w:w="84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57" w:rsidRPr="007F0357" w:rsidRDefault="007F0357" w:rsidP="007F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урегулированию страховых случаев (убытков)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2369"/>
        <w:gridCol w:w="1694"/>
        <w:gridCol w:w="2137"/>
        <w:gridCol w:w="876"/>
        <w:gridCol w:w="1694"/>
      </w:tblGrid>
      <w:tr w:rsidR="007F0357" w:rsidRPr="007F0357" w:rsidTr="00343941">
        <w:trPr>
          <w:jc w:val="center"/>
        </w:trPr>
        <w:tc>
          <w:tcPr>
            <w:tcW w:w="2950" w:type="pct"/>
            <w:gridSpan w:val="3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050" w:type="pct"/>
            <w:gridSpan w:val="3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7F0357" w:rsidRPr="007F0357" w:rsidTr="00343941">
        <w:trPr>
          <w:jc w:val="center"/>
        </w:trPr>
        <w:tc>
          <w:tcPr>
            <w:tcW w:w="194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183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5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4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7F0357" w:rsidRPr="007F0357" w:rsidTr="00343941">
        <w:trPr>
          <w:jc w:val="center"/>
        </w:trPr>
        <w:tc>
          <w:tcPr>
            <w:tcW w:w="194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183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лиц о получении страховой выплаты</w:t>
            </w:r>
          </w:p>
        </w:tc>
        <w:tc>
          <w:tcPr>
            <w:tcW w:w="573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лиц, обратившихся за получением страховой выплаты</w:t>
            </w:r>
            <w:r w:rsidRPr="007F0357" w:rsidDel="005C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57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trHeight w:val="562"/>
          <w:jc w:val="center"/>
        </w:trPr>
        <w:tc>
          <w:tcPr>
            <w:tcW w:w="1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страхового дела</w:t>
            </w:r>
          </w:p>
        </w:tc>
        <w:tc>
          <w:tcPr>
            <w:tcW w:w="45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57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jc w:val="center"/>
        </w:trPr>
        <w:tc>
          <w:tcPr>
            <w:tcW w:w="194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183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причины наступления заявленного события и объема причиненного вреда, ущерба </w:t>
            </w:r>
          </w:p>
        </w:tc>
        <w:tc>
          <w:tcPr>
            <w:tcW w:w="573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осмотра места события и объекта, которому причинен вред, ущерб </w:t>
            </w:r>
          </w:p>
        </w:tc>
        <w:tc>
          <w:tcPr>
            <w:tcW w:w="45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B/01.5</w:t>
            </w:r>
          </w:p>
        </w:tc>
        <w:tc>
          <w:tcPr>
            <w:tcW w:w="57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jc w:val="center"/>
        </w:trPr>
        <w:tc>
          <w:tcPr>
            <w:tcW w:w="1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причины наступления заявленного события</w:t>
            </w:r>
          </w:p>
        </w:tc>
        <w:tc>
          <w:tcPr>
            <w:tcW w:w="45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B/02.5</w:t>
            </w:r>
          </w:p>
        </w:tc>
        <w:tc>
          <w:tcPr>
            <w:tcW w:w="57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jc w:val="center"/>
        </w:trPr>
        <w:tc>
          <w:tcPr>
            <w:tcW w:w="1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причиненного вреда, ущерба</w:t>
            </w:r>
          </w:p>
        </w:tc>
        <w:tc>
          <w:tcPr>
            <w:tcW w:w="45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B/03.5</w:t>
            </w:r>
          </w:p>
        </w:tc>
        <w:tc>
          <w:tcPr>
            <w:tcW w:w="57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jc w:val="center"/>
        </w:trPr>
        <w:tc>
          <w:tcPr>
            <w:tcW w:w="194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183" w:type="pct"/>
            <w:vMerge w:val="restart"/>
          </w:tcPr>
          <w:p w:rsidR="007F0357" w:rsidRPr="007F0357" w:rsidRDefault="007F0357" w:rsidP="007F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страхового случая (убытка)</w:t>
            </w:r>
          </w:p>
        </w:tc>
        <w:tc>
          <w:tcPr>
            <w:tcW w:w="573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proofErr w:type="gramStart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 по</w:t>
            </w:r>
            <w:proofErr w:type="gramEnd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заявленному событию о признании или непризнании страховым случаем</w:t>
            </w:r>
          </w:p>
        </w:tc>
        <w:tc>
          <w:tcPr>
            <w:tcW w:w="45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C/01.5</w:t>
            </w:r>
          </w:p>
        </w:tc>
        <w:tc>
          <w:tcPr>
            <w:tcW w:w="57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jc w:val="center"/>
        </w:trPr>
        <w:tc>
          <w:tcPr>
            <w:tcW w:w="1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суммы страховой выплаты</w:t>
            </w:r>
          </w:p>
        </w:tc>
        <w:tc>
          <w:tcPr>
            <w:tcW w:w="45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C/02.5</w:t>
            </w:r>
          </w:p>
        </w:tc>
        <w:tc>
          <w:tcPr>
            <w:tcW w:w="57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trHeight w:val="70"/>
          <w:jc w:val="center"/>
        </w:trPr>
        <w:tc>
          <w:tcPr>
            <w:tcW w:w="194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183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структурного подразделения по урегулированию страховых случаев (убытков)</w:t>
            </w:r>
          </w:p>
        </w:tc>
        <w:tc>
          <w:tcPr>
            <w:tcW w:w="573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структурного подразделения</w:t>
            </w:r>
          </w:p>
        </w:tc>
        <w:tc>
          <w:tcPr>
            <w:tcW w:w="45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D/01.6</w:t>
            </w:r>
          </w:p>
        </w:tc>
        <w:tc>
          <w:tcPr>
            <w:tcW w:w="57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trHeight w:val="753"/>
          <w:jc w:val="center"/>
        </w:trPr>
        <w:tc>
          <w:tcPr>
            <w:tcW w:w="1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результатов деятельности подразделения</w:t>
            </w:r>
          </w:p>
        </w:tc>
        <w:tc>
          <w:tcPr>
            <w:tcW w:w="45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D/02.6</w:t>
            </w:r>
          </w:p>
        </w:tc>
        <w:tc>
          <w:tcPr>
            <w:tcW w:w="57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trHeight w:val="1040"/>
          <w:jc w:val="center"/>
        </w:trPr>
        <w:tc>
          <w:tcPr>
            <w:tcW w:w="19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pct"/>
            <w:vMerge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деятельности подразделения</w:t>
            </w:r>
          </w:p>
        </w:tc>
        <w:tc>
          <w:tcPr>
            <w:tcW w:w="45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D/03.6</w:t>
            </w:r>
          </w:p>
        </w:tc>
        <w:tc>
          <w:tcPr>
            <w:tcW w:w="57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F0357" w:rsidRPr="007F0357" w:rsidRDefault="007F0357" w:rsidP="007F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57" w:rsidRPr="007F0357" w:rsidRDefault="007F0357" w:rsidP="007F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Специалист по продаже страховых продуктов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1749"/>
        <w:gridCol w:w="1694"/>
        <w:gridCol w:w="2757"/>
        <w:gridCol w:w="876"/>
        <w:gridCol w:w="1694"/>
      </w:tblGrid>
      <w:tr w:rsidR="007F0357" w:rsidRPr="007F0357" w:rsidTr="00343941">
        <w:trPr>
          <w:jc w:val="center"/>
        </w:trPr>
        <w:tc>
          <w:tcPr>
            <w:tcW w:w="1858" w:type="pct"/>
            <w:gridSpan w:val="3"/>
            <w:shd w:val="clear" w:color="auto" w:fill="auto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shd w:val="clear" w:color="auto" w:fill="auto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013" w:type="pct"/>
            <w:shd w:val="clear" w:color="auto" w:fill="auto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 w:val="restar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страховых продуктов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места продажи страховых продуктов 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A/01.5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потребителей о страховых продуктах, условиях договоров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A/02.5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trHeight w:val="336"/>
          <w:jc w:val="center"/>
        </w:trPr>
        <w:tc>
          <w:tcPr>
            <w:tcW w:w="324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Идентификация объектов страхования для заключения договоров страхования с потребителями  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A/03.5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trHeight w:val="336"/>
          <w:jc w:val="center"/>
        </w:trPr>
        <w:tc>
          <w:tcPr>
            <w:tcW w:w="324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договоров страхования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A/04.5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trHeight w:val="336"/>
          <w:jc w:val="center"/>
        </w:trPr>
        <w:tc>
          <w:tcPr>
            <w:tcW w:w="324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сопровождение договоров страхования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A/05.5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trHeight w:val="336"/>
          <w:jc w:val="center"/>
        </w:trPr>
        <w:tc>
          <w:tcPr>
            <w:tcW w:w="324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расчетов по страховым премиям с заинтересованными лицами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A/06.5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 w:val="restar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продажами страховых продуктов в структурном подразделении страховой организации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организация работы структурного подразделения </w:t>
            </w:r>
            <w:proofErr w:type="gramStart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продажам</w:t>
            </w:r>
            <w:proofErr w:type="gramEnd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продуктов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работы структурного подразделения </w:t>
            </w:r>
            <w:proofErr w:type="gramStart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продажам</w:t>
            </w:r>
            <w:proofErr w:type="gramEnd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страховых продуктов, региональных отделений страховой организации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методических, организационных и технологических документов по продажам страховых продуктов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консультационной </w:t>
            </w: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потребителям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B/04.6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сотрудников структурного подразделения и оценка его результатов  </w:t>
            </w:r>
          </w:p>
        </w:tc>
        <w:tc>
          <w:tcPr>
            <w:tcW w:w="465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664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F0357" w:rsidRPr="007F0357" w:rsidRDefault="007F0357" w:rsidP="007F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357" w:rsidRPr="007F0357" w:rsidRDefault="007F0357" w:rsidP="007F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Специалист по перестрахованию</w:t>
      </w:r>
    </w:p>
    <w:p w:rsidR="007F0357" w:rsidRPr="007F0357" w:rsidRDefault="007F0357" w:rsidP="007F03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1943"/>
        <w:gridCol w:w="1694"/>
        <w:gridCol w:w="2563"/>
        <w:gridCol w:w="876"/>
        <w:gridCol w:w="1694"/>
      </w:tblGrid>
      <w:tr w:rsidR="007F0357" w:rsidRPr="007F0357" w:rsidTr="00343941">
        <w:trPr>
          <w:jc w:val="center"/>
        </w:trPr>
        <w:tc>
          <w:tcPr>
            <w:tcW w:w="1858" w:type="pct"/>
            <w:gridSpan w:val="3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013" w:type="pct"/>
            <w:tcBorders>
              <w:bottom w:val="single" w:sz="4" w:space="0" w:color="808080"/>
            </w:tcBorders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4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959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программ перестрахования на основе конъюнктуры рынка</w:t>
            </w:r>
          </w:p>
        </w:tc>
        <w:tc>
          <w:tcPr>
            <w:tcW w:w="575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анализ страхового рынка для формирования программ перестрахования</w:t>
            </w:r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перестрахования</w:t>
            </w:r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партнеров по перестрахованию: страховых, перестраховочных, брокерских организаций</w:t>
            </w:r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959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партнерами с целью определения условий и заключения договоров входящего и исходящего перестрахования</w:t>
            </w:r>
          </w:p>
        </w:tc>
        <w:tc>
          <w:tcPr>
            <w:tcW w:w="575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перестрахователей о продуктах перестрахования, условиях договоров</w:t>
            </w:r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 перестрахование факультативных, облигаторных рисков, входящее перестрахование</w:t>
            </w:r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</w:t>
            </w:r>
            <w:proofErr w:type="spellStart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цессионеров</w:t>
            </w:r>
            <w:proofErr w:type="spellEnd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ретроцессионеров</w:t>
            </w:r>
            <w:proofErr w:type="spellEnd"/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рисков в перестрахование, цессия, </w:t>
            </w:r>
            <w:proofErr w:type="spellStart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ретроцессия</w:t>
            </w:r>
            <w:proofErr w:type="spellEnd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исходящее перестрахование</w:t>
            </w:r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учета договоров цессии, </w:t>
            </w:r>
            <w:proofErr w:type="spellStart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ретроцессии</w:t>
            </w:r>
            <w:proofErr w:type="spellEnd"/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59" w:type="pct"/>
            <w:vMerge w:val="restart"/>
          </w:tcPr>
          <w:p w:rsidR="007F0357" w:rsidRPr="007F0357" w:rsidRDefault="007F0357" w:rsidP="007F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и сопровождение </w:t>
            </w: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перестрахования</w:t>
            </w:r>
          </w:p>
        </w:tc>
        <w:tc>
          <w:tcPr>
            <w:tcW w:w="575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договоров </w:t>
            </w: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факультативного перестрахования</w:t>
            </w:r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C/01.6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7F0357" w:rsidRPr="007F0357" w:rsidRDefault="007F0357" w:rsidP="007F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договоров </w:t>
            </w:r>
            <w:proofErr w:type="gramStart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облигаторного  перестрахования</w:t>
            </w:r>
            <w:proofErr w:type="gramEnd"/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C/02.6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24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договоров перестрахования</w:t>
            </w:r>
          </w:p>
        </w:tc>
        <w:tc>
          <w:tcPr>
            <w:tcW w:w="465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C/03.6</w:t>
            </w:r>
          </w:p>
        </w:tc>
        <w:tc>
          <w:tcPr>
            <w:tcW w:w="664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F0357" w:rsidRPr="007F0357" w:rsidRDefault="007F0357" w:rsidP="007F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357" w:rsidRPr="007F0357" w:rsidRDefault="007F0357" w:rsidP="007F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357" w:rsidRPr="007F0357" w:rsidRDefault="007F0357" w:rsidP="007F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 по инвестиционной работе в сфере страхования 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1915"/>
        <w:gridCol w:w="1694"/>
        <w:gridCol w:w="2590"/>
        <w:gridCol w:w="877"/>
        <w:gridCol w:w="1694"/>
      </w:tblGrid>
      <w:tr w:rsidR="007F0357" w:rsidRPr="007F0357" w:rsidTr="00343941">
        <w:trPr>
          <w:jc w:val="center"/>
        </w:trPr>
        <w:tc>
          <w:tcPr>
            <w:tcW w:w="2239" w:type="pct"/>
            <w:gridSpan w:val="3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761" w:type="pct"/>
            <w:gridSpan w:val="3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5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6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386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9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6" w:type="pct"/>
            <w:vAlign w:val="center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025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инвестиционной деятельности</w:t>
            </w:r>
          </w:p>
        </w:tc>
        <w:tc>
          <w:tcPr>
            <w:tcW w:w="906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pct"/>
          </w:tcPr>
          <w:p w:rsidR="007F0357" w:rsidRPr="007F0357" w:rsidRDefault="007F0357" w:rsidP="007F0357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предварительных инвестиционных исследований</w:t>
            </w:r>
          </w:p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7F0357" w:rsidRPr="007F0357" w:rsidRDefault="007F0357" w:rsidP="007F0357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Сбор данных для </w:t>
            </w:r>
            <w:proofErr w:type="gramStart"/>
            <w:r w:rsidRPr="007F0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разработки  предложений</w:t>
            </w:r>
            <w:proofErr w:type="gramEnd"/>
            <w:r w:rsidRPr="007F0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инвестированию </w:t>
            </w:r>
          </w:p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7F0357" w:rsidRPr="007F0357" w:rsidRDefault="007F0357" w:rsidP="007F0357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Анализ и оценка данных в </w:t>
            </w:r>
            <w:proofErr w:type="gramStart"/>
            <w:r w:rsidRPr="007F0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целях  обоснования</w:t>
            </w:r>
            <w:proofErr w:type="gramEnd"/>
            <w:r w:rsidRPr="007F0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разработки инвестиционных предложений </w:t>
            </w:r>
          </w:p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025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инвестиционной деятельности</w:t>
            </w:r>
          </w:p>
        </w:tc>
        <w:tc>
          <w:tcPr>
            <w:tcW w:w="906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pct"/>
          </w:tcPr>
          <w:p w:rsidR="007F0357" w:rsidRPr="007F0357" w:rsidRDefault="007F0357" w:rsidP="007F0357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</w:t>
            </w:r>
            <w:r w:rsidRPr="007F0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условий, расчет и обоснование направлений </w:t>
            </w:r>
            <w:proofErr w:type="gramStart"/>
            <w:r w:rsidRPr="007F0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использования  инвестиционных</w:t>
            </w:r>
            <w:proofErr w:type="gramEnd"/>
            <w:r w:rsidRPr="007F0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ресурсов </w:t>
            </w:r>
          </w:p>
          <w:p w:rsidR="007F0357" w:rsidRPr="007F0357" w:rsidRDefault="007F0357" w:rsidP="007F0357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7F0357" w:rsidRPr="007F0357" w:rsidRDefault="007F0357" w:rsidP="007F0357">
            <w:pPr>
              <w:shd w:val="clear" w:color="auto" w:fill="FFFFFF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</w:t>
            </w:r>
            <w:proofErr w:type="gramStart"/>
            <w:r w:rsidRPr="007F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 предложений</w:t>
            </w:r>
            <w:proofErr w:type="gramEnd"/>
            <w:r w:rsidRPr="007F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инвестированию в объекты, программы, проекты </w:t>
            </w:r>
          </w:p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B/02.6</w:t>
            </w: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7F0357" w:rsidRPr="007F0357" w:rsidRDefault="007F0357" w:rsidP="007F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и аудита эффективности инвестиционной деятельности</w:t>
            </w: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B/03.6</w:t>
            </w: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1025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инвестиционной деятельностью </w:t>
            </w:r>
          </w:p>
        </w:tc>
        <w:tc>
          <w:tcPr>
            <w:tcW w:w="906" w:type="pct"/>
            <w:vMerge w:val="restar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структурного подразделения по инвестиционной деятельности</w:t>
            </w: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методических, организационных и технологических документов </w:t>
            </w:r>
            <w:proofErr w:type="gramStart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инвестиционной</w:t>
            </w:r>
            <w:proofErr w:type="gramEnd"/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контроля</w:t>
            </w:r>
            <w:proofErr w:type="gramEnd"/>
            <w:r w:rsidRPr="007F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инвестиционной деятельности </w:t>
            </w: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С/03.7</w:t>
            </w: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57" w:rsidRPr="007F0357" w:rsidTr="00343941">
        <w:trPr>
          <w:jc w:val="center"/>
        </w:trPr>
        <w:tc>
          <w:tcPr>
            <w:tcW w:w="308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vMerge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и проведение аттестации сотрудников  </w:t>
            </w:r>
          </w:p>
        </w:tc>
        <w:tc>
          <w:tcPr>
            <w:tcW w:w="469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С/04.7</w:t>
            </w:r>
          </w:p>
        </w:tc>
        <w:tc>
          <w:tcPr>
            <w:tcW w:w="906" w:type="pct"/>
          </w:tcPr>
          <w:p w:rsidR="007F0357" w:rsidRPr="007F0357" w:rsidRDefault="007F0357" w:rsidP="007F0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F0357" w:rsidRPr="007F0357" w:rsidRDefault="007F0357" w:rsidP="007F0357">
      <w:pPr>
        <w:spacing w:line="360" w:lineRule="auto"/>
        <w:ind w:left="70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57">
        <w:rPr>
          <w:rFonts w:ascii="Times New Roman" w:hAnsi="Times New Roman" w:cs="Times New Roman"/>
          <w:b/>
          <w:sz w:val="24"/>
          <w:szCs w:val="24"/>
        </w:rPr>
        <w:t>1.3</w:t>
      </w:r>
      <w:r w:rsidRPr="007F0357">
        <w:rPr>
          <w:rFonts w:ascii="Times New Roman" w:hAnsi="Times New Roman" w:cs="Times New Roman"/>
          <w:b/>
          <w:sz w:val="24"/>
          <w:szCs w:val="24"/>
        </w:rPr>
        <w:tab/>
        <w:t>Описание состава трудовых функций и обоснование их отнесения к конкретным уровням (подуровням) квалификаций</w:t>
      </w:r>
      <w:r w:rsidRPr="007F0357">
        <w:rPr>
          <w:rFonts w:ascii="Times New Roman" w:hAnsi="Times New Roman" w:cs="Times New Roman"/>
          <w:b/>
          <w:sz w:val="24"/>
          <w:szCs w:val="24"/>
        </w:rPr>
        <w:tab/>
      </w:r>
    </w:p>
    <w:p w:rsidR="007F0357" w:rsidRPr="007F0357" w:rsidRDefault="007F0357" w:rsidP="007F035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5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К 6-му уровню квалификации относится самостоятельная деятельность, предполагающая определение задач собственной работы и/или подчиненных по достижению цели, обеспечение взаимодействия сотрудников и смежных подразделений, ответственность за результат выполнения работ на уровне подразделения или организации, разработка, внедрение, контроль, оценка и корректировка направлений профессиональной деятельности, технологических или методических решений, применение профессиональных знаний технологического или методического характера, в том числе, инновационных, самостоятельный поиск, анализ и оценка профессиональной информации  Для достижения уровня необходимо прохождение образовательных программ высшего образования - программы </w:t>
      </w:r>
      <w:proofErr w:type="spellStart"/>
      <w:r w:rsidRPr="007F035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бакалавриата</w:t>
      </w:r>
      <w:proofErr w:type="spellEnd"/>
      <w:r w:rsidRPr="007F035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образовательных программ среднего профессионального образования - программ подготовки специалистов среднего звена Дополнительные профессиональные программы Практический опыт .</w:t>
      </w:r>
    </w:p>
    <w:p w:rsidR="007F0357" w:rsidRPr="007F0357" w:rsidRDefault="007F0357" w:rsidP="007F0357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57" w:rsidRPr="007F0357" w:rsidRDefault="007F0357" w:rsidP="007F0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7-му уровню квалификации относится определение стратегии, управление процессами и деятельностью, в том числе, инновационной, с принятием решения на уровне крупных организаций или подразделений, ответственность за результаты деятельности </w:t>
      </w:r>
      <w:r w:rsidRPr="007F0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крупных организаций или подразделений, решение задач развития области профессиональной деятельности и (или) организации с использованием разнообразных методов и технологий, в том числе, инновационных, разработка новых методов, технологий, 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поиск информации, необходимой для развития области профессиональной деятельности и /или организации. Для достижения уровня необходимо прохождение образовательных программ высшего образования - программ магистратуры или </w:t>
      </w:r>
      <w:proofErr w:type="spellStart"/>
      <w:r w:rsidRPr="007F0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7F0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дополнительных профессиональных программ и практический опыт.</w:t>
      </w: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57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7F0357">
        <w:rPr>
          <w:rFonts w:ascii="Times New Roman" w:hAnsi="Times New Roman" w:cs="Times New Roman"/>
          <w:b/>
          <w:sz w:val="24"/>
          <w:szCs w:val="24"/>
        </w:rPr>
        <w:tab/>
        <w:t>Основные этапы разработки проекта профессионального стандарта</w:t>
      </w:r>
      <w:r w:rsidRPr="007F0357">
        <w:rPr>
          <w:rFonts w:ascii="Times New Roman" w:hAnsi="Times New Roman" w:cs="Times New Roman"/>
          <w:b/>
          <w:sz w:val="24"/>
          <w:szCs w:val="24"/>
        </w:rPr>
        <w:tab/>
      </w: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57">
        <w:rPr>
          <w:rFonts w:ascii="Times New Roman" w:hAnsi="Times New Roman" w:cs="Times New Roman"/>
          <w:b/>
          <w:sz w:val="24"/>
          <w:szCs w:val="24"/>
        </w:rPr>
        <w:t>2.1</w:t>
      </w:r>
      <w:r w:rsidRPr="007F0357">
        <w:rPr>
          <w:rFonts w:ascii="Times New Roman" w:hAnsi="Times New Roman" w:cs="Times New Roman"/>
          <w:b/>
          <w:sz w:val="24"/>
          <w:szCs w:val="24"/>
        </w:rPr>
        <w:tab/>
        <w:t>Информация об организациях, на базе которых проводились исследования</w:t>
      </w:r>
      <w:r w:rsidRPr="007F0357">
        <w:rPr>
          <w:rFonts w:ascii="Times New Roman" w:hAnsi="Times New Roman" w:cs="Times New Roman"/>
          <w:b/>
          <w:sz w:val="24"/>
          <w:szCs w:val="24"/>
        </w:rPr>
        <w:tab/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Всероссийский союз страховщиков (ВСС) является единым союзом профессиональных участников страхового рынка на федеральном уровне. Он призван координировать деятельность своих членов, представлять и защищать их общие интересы в отношениях с российскими и зарубежными организациями и органами власти.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члену Союза, независимо от масштабов его деятельности, ВСС стремится оказать и оказывает необходимую помощь в решении его конкретных проблем, одновременно проводя большую работу, нацеленную на решение общих задач страхового сообщества России. Членам ВСС регулярно направляется объективная информация по страховому рынку, состоянии развития страхового законодательства и другим вопросам.</w:t>
      </w:r>
    </w:p>
    <w:p w:rsidR="007F0357" w:rsidRPr="007F0357" w:rsidRDefault="007F0357" w:rsidP="007F03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  <w:t>История союза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Объединение российских страховщиков в союз было вызвано возникновением в начале 90-х годов большого числа новых частных компаний и необходимостью регулирования внутрикорпоративных отношений. Кроме этого, тогда уже стала очевидной потребность в совместном информировании общественности о выгоде и социальной значимости страхования, отстаивании интересов страховщиков во властных структурах, участии страхового сообщества в формировании страхового законодательства.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Свою историю ВСС ведет с 15 марта 1994 года, когда Всероссийским собранием страховых организаций и объединений был принят Устав Союза. 20 мая того же года Всероссийский союз страховщиков был зарегистрирован государственными органами и получил соответствующее свидетельство. Именно день 20 мая 1994 года считается днем основания Всероссийского союза страховщиков.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Поначалу в России действовали два профессиональных союза страховщиков, в каждый из которых входило примерно одинаковое количество компаний. Однако это оказалось неудобным, и к началу 1996 года на совместном заседании союзы объединились в единый Всероссийский союз страховщиков (ВСС). Первым президентом союза был избран Владимир Петрович Кругляк.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Решением Банка России от 6 декабря 2016 года № КФНП-51 Всероссийский союз страховщиков внесен в единый реестр саморегулируемых организаций в сфере финансового рынка с присвоением статуса саморегулируемой организации в отношении вида деятельности страховых организаций.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настоящий момент в состав ВСС входят 237 членов, в том числе 236 страховых организации.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F0357"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  <w:t>Органы управления ВСС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собрание членов Союз</w:t>
      </w: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является высшим органом управления Союзом (очередные Общие собрания членов Союза созываются Президиумом Союза не реже одного раза в год)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Президиум Союза</w:t>
      </w: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(избирается Общим собранием членов Союза сроком на три года)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постоянно действующим коллегиальным органом управления Союза. 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 Союза</w:t>
      </w: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лицом, исполняющим функции единоличного исполнительного органа </w:t>
      </w:r>
      <w:proofErr w:type="gramStart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Союза(</w:t>
      </w:r>
      <w:proofErr w:type="gramEnd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избирается Общим собранием членов Союза сроком на три года)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F0357" w:rsidRPr="007F0357" w:rsidRDefault="007F0357" w:rsidP="007F03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  <w:t>ВСС является членом</w:t>
      </w:r>
    </w:p>
    <w:p w:rsidR="007F0357" w:rsidRPr="007F0357" w:rsidRDefault="007F0357" w:rsidP="007F0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Торгово-промышленной палаты Российской Федерации (ТПП)</w:t>
      </w:r>
    </w:p>
    <w:p w:rsidR="007F0357" w:rsidRPr="007F0357" w:rsidRDefault="007F0357" w:rsidP="007F0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Российского союза промышленников и предпринимателей (РСПП)</w:t>
      </w:r>
    </w:p>
    <w:p w:rsidR="007F0357" w:rsidRPr="007F0357" w:rsidRDefault="007F0357" w:rsidP="007F0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Общероссийская общественная организация «Ассоциация юристов России»</w:t>
      </w:r>
    </w:p>
    <w:p w:rsidR="007F0357" w:rsidRPr="007F0357" w:rsidRDefault="007F0357" w:rsidP="007F0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Insurance</w:t>
      </w:r>
      <w:proofErr w:type="spellEnd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Europe</w:t>
      </w:r>
      <w:proofErr w:type="spellEnd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(быв. Европейский Комитет Страховщиков (CEA))</w:t>
      </w:r>
    </w:p>
    <w:p w:rsidR="007F0357" w:rsidRPr="007F0357" w:rsidRDefault="007F0357" w:rsidP="007F03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Всемирной Федерации Страховых Ассоциаций (GFIA) </w:t>
      </w:r>
    </w:p>
    <w:p w:rsidR="007F0357" w:rsidRPr="007F0357" w:rsidRDefault="007F0357" w:rsidP="007F03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  <w:t>ВСС взаимодействует в рамках заключенных соглашений</w:t>
      </w:r>
      <w:r w:rsidRPr="007F0357">
        <w:rPr>
          <w:rFonts w:ascii="Times New Roman" w:eastAsia="Times New Roman" w:hAnsi="Times New Roman" w:cs="Times New Roman"/>
          <w:color w:val="105A9D"/>
          <w:sz w:val="24"/>
          <w:szCs w:val="24"/>
          <w:lang w:eastAsia="ru-RU"/>
        </w:rPr>
        <w:br/>
        <w:t>о взаимодействии и сотрудничестве с:</w:t>
      </w:r>
    </w:p>
    <w:p w:rsidR="007F0357" w:rsidRPr="007F0357" w:rsidRDefault="007F0357" w:rsidP="007F035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Международными организациями: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Британских страховщиков (ABI)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профессиональных участников страхового рынка Узбекистана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страховщиков Казахстана (АСК)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финансистов Казахстана (АФК)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Белорусская ассоциация страховщиков (БАС)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Германский союз страховщиков (GDV)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Латвийская Ассоциация Страховщиков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Лига страховых организаций Украины (ЛСОУ)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Литовская Ассоциация Страховщиков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Французская Федерация страхования (FFA, быв. FFSA)</w:t>
      </w:r>
    </w:p>
    <w:p w:rsidR="007F0357" w:rsidRPr="007F0357" w:rsidRDefault="007F0357" w:rsidP="007F0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Эстонская Ассоциация Страховщиков </w:t>
      </w:r>
    </w:p>
    <w:p w:rsidR="007F0357" w:rsidRPr="007F0357" w:rsidRDefault="007F0357" w:rsidP="007F035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Органами государственной власти Российской Федерации: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F0357" w:rsidRPr="007F0357" w:rsidRDefault="007F0357" w:rsidP="007F0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Федеральная антимонопольная служба (ФАС России)</w:t>
      </w:r>
    </w:p>
    <w:p w:rsidR="007F0357" w:rsidRPr="007F0357" w:rsidRDefault="007F0357" w:rsidP="007F0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служба по финансовому мониторингу (</w:t>
      </w:r>
      <w:proofErr w:type="spellStart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Росфинмониторинг</w:t>
      </w:r>
      <w:proofErr w:type="spellEnd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F0357" w:rsidRPr="007F0357" w:rsidRDefault="007F0357" w:rsidP="007F0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Федеральное агентство по туризму (Ростуризм)</w:t>
      </w:r>
    </w:p>
    <w:p w:rsidR="007F0357" w:rsidRPr="007F0357" w:rsidRDefault="007F0357" w:rsidP="007F0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фонд обязательного медицинского страхования (ФОМС)</w:t>
      </w:r>
    </w:p>
    <w:p w:rsidR="007F0357" w:rsidRPr="007F0357" w:rsidRDefault="007F0357" w:rsidP="007F0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(</w:t>
      </w:r>
      <w:proofErr w:type="spellStart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</w:t>
      </w:r>
      <w:proofErr w:type="spellEnd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Российскими союзами: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Ассоциации региональных банков России (Ассоциация «Россия»)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Российский Союз Автостраховщиков (РСА)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Национальный союз страховщиков ответственности (НССО)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Страховщиков Жизни (АСЖ) 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Единое объединение страховщиков агропромышленного комплекса – Национальный союз </w:t>
      </w:r>
      <w:proofErr w:type="spellStart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агростраховщиков</w:t>
      </w:r>
      <w:proofErr w:type="spellEnd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(НСА)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Российская ассоциация авиационных и космических страховщиков (РААКС)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Страховщиков Топливно-Энергетического Комплекса (АСТЭК)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Ассоциация страховых брокеров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Московская ассоциация страховщиков (МАС)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Сибирская Ассоциация страховщиков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 страховщиков «Белый соболь»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Исполнительный комитет (учреждение) Межрегиональной ассоциации экономического взаимодействия субъектов Российской Федерации «Сибирское Соглашение»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Профессиональная Ассоциация Регистраторов, Трансфер-Агентов и Депозитариев (ПАРТАД), ЗАО «Объединенная депозитарная компания», ООО «Инфраструктурный Институт ПАРТАД» (ИНФИ)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Межрегиональная Ассоциация «Сибирское соглашение» (МАСС)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Аудиторская Палата России (АПР)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Московская Аудиторская Палата (</w:t>
      </w:r>
      <w:proofErr w:type="spellStart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МоАП</w:t>
      </w:r>
      <w:proofErr w:type="spellEnd"/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 Профессиональных Аудиторских Организаций (СПАО)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Национальная ассоциация участников фондового рынка (НАУФОР)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Торгово-промышленная палата Российской Федерации (ТПП)</w:t>
      </w:r>
    </w:p>
    <w:p w:rsidR="007F0357" w:rsidRPr="007F0357" w:rsidRDefault="007F0357" w:rsidP="007F03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3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</w:t>
      </w:r>
    </w:p>
    <w:p w:rsidR="007F0357" w:rsidRPr="007F0357" w:rsidRDefault="007F0357" w:rsidP="007F03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57">
        <w:rPr>
          <w:rFonts w:ascii="Times New Roman" w:hAnsi="Times New Roman" w:cs="Times New Roman"/>
          <w:b/>
          <w:sz w:val="24"/>
          <w:szCs w:val="24"/>
        </w:rPr>
        <w:t>2.2</w:t>
      </w:r>
      <w:r w:rsidRPr="007F0357">
        <w:rPr>
          <w:rFonts w:ascii="Times New Roman" w:hAnsi="Times New Roman" w:cs="Times New Roman"/>
          <w:b/>
          <w:sz w:val="24"/>
          <w:szCs w:val="24"/>
        </w:rPr>
        <w:tab/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r w:rsidRPr="007F0357">
        <w:rPr>
          <w:rFonts w:ascii="Times New Roman" w:hAnsi="Times New Roman" w:cs="Times New Roman"/>
          <w:b/>
          <w:sz w:val="24"/>
          <w:szCs w:val="24"/>
        </w:rPr>
        <w:tab/>
      </w:r>
    </w:p>
    <w:p w:rsidR="007F0357" w:rsidRPr="007F0357" w:rsidRDefault="007F0357" w:rsidP="007F0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 xml:space="preserve">К процессу разработки и согласования проекта профессионального стандарта были привлечены высококвалифицированные специалисты и эксперты из числа банковских работников и профессорско-преподавательского состава финансово-экономических вузов, в первую очередь, Финансового университета при Правительстве Российской Федерации. Главными критериями для выбора экспертов стали: наличие высшего и дополнительного финансово-экономического образования, наличие российских и международных </w:t>
      </w:r>
      <w:r w:rsidRPr="007F0357">
        <w:rPr>
          <w:rFonts w:ascii="Times New Roman" w:hAnsi="Times New Roman" w:cs="Times New Roman"/>
          <w:sz w:val="24"/>
          <w:szCs w:val="24"/>
        </w:rPr>
        <w:lastRenderedPageBreak/>
        <w:t>сертификатов, стаж работы (не менее пяти лет в области лизинга и смежных областях), членство в профессиональных ассоциациях, союзах и т.д.</w:t>
      </w:r>
    </w:p>
    <w:p w:rsidR="007F0357" w:rsidRPr="007F0357" w:rsidRDefault="007F0357" w:rsidP="007F0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 xml:space="preserve">Согласно Приказа Министерства труда и социального развития Российской Федерации от 12 апреля 2013 года № 148н «Об утверждении уровней квалификации в целях разработки проектов профессиональных стандартов» эксперты должны соответствовать уровню квалификации не ниже 7 уровня, то есть иметь соответствующие знания (понимание методологических основ профессиональной деятельности, создание новых знаний прикладного характера в определенной области, определение источников и </w:t>
      </w:r>
      <w:proofErr w:type="spellStart"/>
      <w:r w:rsidRPr="007F035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F0357">
        <w:rPr>
          <w:rFonts w:ascii="Times New Roman" w:hAnsi="Times New Roman" w:cs="Times New Roman"/>
          <w:sz w:val="24"/>
          <w:szCs w:val="24"/>
        </w:rPr>
        <w:t xml:space="preserve"> поиск информации, необходимой для развития области профессиональной деятельности и организации) и умения (развитие задач области профессиональной деятельности и организации при помощи разнообразных методов и технологий, в том числе инновационных. Разработка новых методов, технологий).</w:t>
      </w:r>
    </w:p>
    <w:p w:rsidR="007F0357" w:rsidRPr="007F0357" w:rsidRDefault="007F0357" w:rsidP="007F0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 xml:space="preserve">С целью формирования реестра экспертов была осуществлена рассылка в профильные организации писем с запросом на предоставление данных о работающих специалистов данного профиля. На основании полученных сведений был составлен реестр экспертов, который включает ФИО эксперта, контактные данные, информацию об образовании (ВПО, ДПО), опыте и стаже работы. </w:t>
      </w: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К разработке профессионального стандарта было привлечено 50 экспертов в области лизинга и смежных областей финансового рынка.</w:t>
      </w: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При разработке профессионального стандарта использовались различные методы, и прежде всего:</w:t>
      </w: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- метод анализа (в т. нормативных документов);</w:t>
      </w: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- метод синтеза;</w:t>
      </w: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- моделирование;</w:t>
      </w: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 xml:space="preserve">-метод экспертных оценок;                           </w:t>
      </w: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- социологические методы (опрос, анкетирование).</w:t>
      </w:r>
    </w:p>
    <w:p w:rsidR="007F0357" w:rsidRPr="007F0357" w:rsidRDefault="007F0357" w:rsidP="007F03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357">
        <w:rPr>
          <w:rFonts w:ascii="Times New Roman" w:hAnsi="Times New Roman" w:cs="Times New Roman"/>
          <w:sz w:val="24"/>
          <w:szCs w:val="24"/>
        </w:rPr>
        <w:t>С целью актуализации профессионального стандарта «Специалист по страхованию» создана следующая рабочая группа.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6"/>
        <w:gridCol w:w="3462"/>
        <w:gridCol w:w="4807"/>
      </w:tblGrid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Должность, организация</w:t>
            </w:r>
          </w:p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Платонова Элла Леонтьевна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Вице - Президент ВСС</w:t>
            </w: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Тарасов Игорь Львович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по связям с гос. органами ООО СК «ВТБ Страхование»</w:t>
            </w: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Марина Андреевна</w:t>
            </w:r>
          </w:p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карьерного развития, Департамента по работе с персоналом СПАО «Ингосстрах»</w:t>
            </w: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Артамонов Александр Петрович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Комитета ВСС по перестрахованию </w:t>
            </w: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Алексей Владимирович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7F035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  <w:r w:rsidRPr="007F035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ПАО СК "Росгосстрах"</w:t>
            </w: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Бородина Ольга Борисовна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Директор Управления Кадрового администрирования </w:t>
            </w:r>
            <w:r w:rsidRPr="007F035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ООО "Группа Ренессанс Страхование"</w:t>
            </w: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Дубровин Виктор Викторович</w:t>
            </w:r>
          </w:p>
        </w:tc>
        <w:tc>
          <w:tcPr>
            <w:tcW w:w="4927" w:type="dxa"/>
            <w:vAlign w:val="center"/>
          </w:tcPr>
          <w:p w:rsidR="007F0357" w:rsidRPr="007F0357" w:rsidRDefault="007F0357" w:rsidP="007F0357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Правового управления ООО СК «Сбербанк страхование жизни»</w:t>
            </w: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Цыганов Александр Андреевич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страхования Финансового университета при Правительстве России</w:t>
            </w: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Богачев Андрей Викторович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Президент Национальной Ассоциации страховых </w:t>
            </w:r>
            <w:proofErr w:type="spellStart"/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аджастеров</w:t>
            </w:r>
            <w:proofErr w:type="spellEnd"/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Малышев Николай Иванович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Президента ВСС</w:t>
            </w: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 </w:t>
            </w:r>
            <w:r w:rsidRPr="007F03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Владимир Владимирович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отдела контроля качества</w:t>
            </w:r>
          </w:p>
          <w:p w:rsidR="007F0357" w:rsidRPr="007F0357" w:rsidRDefault="007F0357" w:rsidP="007F03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 урегулирования претензий САО "ВСК"</w:t>
            </w:r>
          </w:p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Конова Виктория Васильевна</w:t>
            </w:r>
          </w:p>
        </w:tc>
        <w:tc>
          <w:tcPr>
            <w:tcW w:w="4927" w:type="dxa"/>
          </w:tcPr>
          <w:p w:rsidR="007F0357" w:rsidRPr="007F0357" w:rsidRDefault="007F0357" w:rsidP="007F0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</w:rPr>
              <w:t>Зам. Генерального директора СК ТИТ</w:t>
            </w:r>
          </w:p>
        </w:tc>
      </w:tr>
      <w:tr w:rsidR="007F0357" w:rsidRPr="007F0357" w:rsidTr="00343941">
        <w:tc>
          <w:tcPr>
            <w:tcW w:w="1101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</w:pPr>
            <w:r w:rsidRPr="007F0357">
              <w:rPr>
                <w:rFonts w:ascii="Times New Roman" w:eastAsia="Calibri" w:hAnsi="Times New Roman" w:cs="Times New Roman"/>
                <w:bCs/>
                <w:color w:val="1D1D1D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0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Козинов</w:t>
            </w:r>
            <w:proofErr w:type="spellEnd"/>
            <w:r w:rsidRPr="007F0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  <w:p w:rsidR="007F0357" w:rsidRPr="007F0357" w:rsidRDefault="007F0357" w:rsidP="007F03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F0357" w:rsidRPr="007F0357" w:rsidRDefault="007F0357" w:rsidP="007F03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3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Правового управления ООО СК «Сбербанк страхование жизни»</w:t>
            </w:r>
          </w:p>
          <w:p w:rsidR="007F0357" w:rsidRPr="007F0357" w:rsidRDefault="007F0357" w:rsidP="007F0357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</w:tc>
      </w:tr>
    </w:tbl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57" w:rsidRPr="007F0357" w:rsidRDefault="007F0357" w:rsidP="007F03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57">
        <w:rPr>
          <w:rFonts w:ascii="Times New Roman" w:hAnsi="Times New Roman" w:cs="Times New Roman"/>
          <w:b/>
          <w:sz w:val="24"/>
          <w:szCs w:val="24"/>
        </w:rPr>
        <w:t>2.3</w:t>
      </w:r>
      <w:r w:rsidRPr="007F0357">
        <w:rPr>
          <w:rFonts w:ascii="Times New Roman" w:hAnsi="Times New Roman" w:cs="Times New Roman"/>
          <w:b/>
          <w:sz w:val="24"/>
          <w:szCs w:val="24"/>
        </w:rPr>
        <w:tab/>
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стандарта.</w:t>
      </w:r>
    </w:p>
    <w:p w:rsidR="007F0357" w:rsidRPr="007F0357" w:rsidRDefault="007F0357" w:rsidP="007F03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7F0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"Гражданский кодекс Российской Федерации (часть вторая)" от 26.01.1996 N 14-</w:t>
        </w:r>
        <w:proofErr w:type="gramStart"/>
        <w:r w:rsidRPr="007F0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ФЗ</w:t>
        </w:r>
        <w:r w:rsidRPr="007F0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(</w:t>
        </w:r>
        <w:proofErr w:type="gramEnd"/>
        <w:r w:rsidRPr="007F0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ред. от 28.03.2017) Глава 48. </w:t>
        </w:r>
        <w:r w:rsidRPr="007F035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Страхование</w:t>
        </w:r>
      </w:hyperlink>
    </w:p>
    <w:p w:rsidR="007F0357" w:rsidRPr="007F0357" w:rsidRDefault="007F0357" w:rsidP="007F035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7F0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 РФ от 27.11.1992 N 4015-1 (ред. от 03.07.2016)</w:t>
        </w:r>
        <w:r w:rsidRPr="007F0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"Об организации </w:t>
        </w:r>
        <w:r w:rsidRPr="007F035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страхового</w:t>
        </w:r>
        <w:r w:rsidRPr="007F0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дела в Российской Федерации"</w:t>
        </w:r>
        <w:r w:rsidRPr="007F03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(с изм. и доп., вступ. в силу с 01.01.2017)</w:t>
        </w:r>
      </w:hyperlink>
    </w:p>
    <w:p w:rsidR="007F0357" w:rsidRDefault="007F0357" w:rsidP="007F0357">
      <w:pPr>
        <w:jc w:val="center"/>
      </w:pPr>
      <w:bookmarkStart w:id="0" w:name="_GoBack"/>
      <w:bookmarkEnd w:id="0"/>
    </w:p>
    <w:p w:rsidR="00DE3396" w:rsidRDefault="00DE3396"/>
    <w:sectPr w:rsidR="00DE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7F" w:rsidRDefault="007F0357" w:rsidP="00F40D2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0E7F" w:rsidRDefault="007F0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7F" w:rsidRPr="00C207C0" w:rsidRDefault="007F0357" w:rsidP="00F40D2A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E7F" w:rsidRPr="00C207C0" w:rsidRDefault="007F0357" w:rsidP="00F40D2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7E52"/>
    <w:multiLevelType w:val="multilevel"/>
    <w:tmpl w:val="D6CC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A5719"/>
    <w:multiLevelType w:val="hybridMultilevel"/>
    <w:tmpl w:val="1F7A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55A0"/>
    <w:multiLevelType w:val="multilevel"/>
    <w:tmpl w:val="58E8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904B6"/>
    <w:multiLevelType w:val="multilevel"/>
    <w:tmpl w:val="D6B8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FE12D1"/>
    <w:multiLevelType w:val="multilevel"/>
    <w:tmpl w:val="264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10C4C"/>
    <w:multiLevelType w:val="multilevel"/>
    <w:tmpl w:val="ED9E4AB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57"/>
    <w:rsid w:val="007F0357"/>
    <w:rsid w:val="00D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0E68C-5B21-43EF-B8B7-C453F537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0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0357"/>
  </w:style>
  <w:style w:type="table" w:customStyle="1" w:styleId="1">
    <w:name w:val="Сетка таблицы1"/>
    <w:basedOn w:val="a1"/>
    <w:next w:val="a5"/>
    <w:uiPriority w:val="59"/>
    <w:rsid w:val="007F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7F0357"/>
    <w:rPr>
      <w:rFonts w:cs="Times New Roman"/>
    </w:rPr>
  </w:style>
  <w:style w:type="table" w:styleId="a5">
    <w:name w:val="Table Grid"/>
    <w:basedOn w:val="a1"/>
    <w:uiPriority w:val="39"/>
    <w:rsid w:val="007F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4563/" TargetMode="Externa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18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Бровчак Сергей Валентинович</cp:lastModifiedBy>
  <cp:revision>1</cp:revision>
  <dcterms:created xsi:type="dcterms:W3CDTF">2017-07-06T10:38:00Z</dcterms:created>
  <dcterms:modified xsi:type="dcterms:W3CDTF">2017-07-06T10:57:00Z</dcterms:modified>
</cp:coreProperties>
</file>