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F2" w:rsidRDefault="00D926C5" w:rsidP="00CD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разработки профессионального стандарта</w:t>
      </w:r>
    </w:p>
    <w:p w:rsidR="00D926C5" w:rsidRDefault="00D926C5" w:rsidP="00CD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«А</w:t>
      </w:r>
      <w:r w:rsidR="00413A57">
        <w:rPr>
          <w:rFonts w:ascii="Times New Roman" w:hAnsi="Times New Roman" w:cs="Times New Roman"/>
          <w:b/>
        </w:rPr>
        <w:t>нтикризис</w:t>
      </w:r>
      <w:r>
        <w:rPr>
          <w:rFonts w:ascii="Times New Roman" w:hAnsi="Times New Roman" w:cs="Times New Roman"/>
          <w:b/>
        </w:rPr>
        <w:t>ный управляющий»</w:t>
      </w:r>
    </w:p>
    <w:p w:rsidR="00D926C5" w:rsidRDefault="00D926C5" w:rsidP="00CD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988"/>
        <w:gridCol w:w="3191"/>
      </w:tblGrid>
      <w:tr w:rsidR="00231526" w:rsidTr="00231526">
        <w:tc>
          <w:tcPr>
            <w:tcW w:w="851" w:type="dxa"/>
          </w:tcPr>
          <w:p w:rsidR="00231526" w:rsidRDefault="00231526" w:rsidP="00CD3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88" w:type="dxa"/>
          </w:tcPr>
          <w:p w:rsidR="00231526" w:rsidRDefault="00231526" w:rsidP="00CD3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91" w:type="dxa"/>
          </w:tcPr>
          <w:p w:rsidR="00231526" w:rsidRDefault="00231526" w:rsidP="00CD3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8" w:type="dxa"/>
          </w:tcPr>
          <w:p w:rsidR="00A956AA" w:rsidRPr="00231526" w:rsidRDefault="00A956AA" w:rsidP="00CD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нормативно-правовой документации</w:t>
            </w:r>
          </w:p>
        </w:tc>
        <w:tc>
          <w:tcPr>
            <w:tcW w:w="3191" w:type="dxa"/>
            <w:vMerge w:val="restart"/>
          </w:tcPr>
          <w:p w:rsidR="00A956AA" w:rsidRPr="00231526" w:rsidRDefault="00831A43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B3020">
              <w:rPr>
                <w:rFonts w:ascii="Times New Roman" w:hAnsi="Times New Roman" w:cs="Times New Roman"/>
              </w:rPr>
              <w:t xml:space="preserve"> кв. 2017</w:t>
            </w:r>
            <w:r w:rsidR="00A956AA">
              <w:rPr>
                <w:rFonts w:ascii="Times New Roman" w:hAnsi="Times New Roman" w:cs="Times New Roman"/>
              </w:rPr>
              <w:t xml:space="preserve"> г.</w:t>
            </w:r>
          </w:p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88" w:type="dxa"/>
          </w:tcPr>
          <w:p w:rsidR="00A956AA" w:rsidRPr="00231526" w:rsidRDefault="00A956AA" w:rsidP="0062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соглашений со стратегическими партнерами </w:t>
            </w:r>
            <w:r w:rsidR="00380E9D">
              <w:rPr>
                <w:rFonts w:ascii="Times New Roman" w:hAnsi="Times New Roman" w:cs="Times New Roman"/>
              </w:rPr>
              <w:t>о взаимодействии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7A1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разработке профессионального стандарта</w:t>
            </w:r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88" w:type="dxa"/>
          </w:tcPr>
          <w:p w:rsidR="00A956AA" w:rsidRPr="00231526" w:rsidRDefault="00A956AA" w:rsidP="00CD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содержанием профессионального стандарта:</w:t>
            </w:r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88" w:type="dxa"/>
          </w:tcPr>
          <w:p w:rsidR="00A956AA" w:rsidRPr="00231526" w:rsidRDefault="00A956AA" w:rsidP="00CD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исследований в области профессиональной деятельности в рамках взаимодействия с социальными партнерами</w:t>
            </w:r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88" w:type="dxa"/>
          </w:tcPr>
          <w:p w:rsidR="00A956AA" w:rsidRPr="00231526" w:rsidRDefault="00A956AA" w:rsidP="00CD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 структурно-функционального анализа профессиональных компетенций арбитражных управляющих</w:t>
            </w:r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88" w:type="dxa"/>
          </w:tcPr>
          <w:p w:rsidR="00A956AA" w:rsidRPr="00231526" w:rsidRDefault="00A956AA" w:rsidP="00CD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перечня трудовых функций для вида трудовой деятельности</w:t>
            </w:r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988" w:type="dxa"/>
          </w:tcPr>
          <w:p w:rsidR="00A956AA" w:rsidRPr="00231526" w:rsidRDefault="00A956AA" w:rsidP="00CD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трудовых функций по квалификационным уровням</w:t>
            </w:r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988" w:type="dxa"/>
          </w:tcPr>
          <w:p w:rsidR="00A956AA" w:rsidRPr="00231526" w:rsidRDefault="00A956AA" w:rsidP="00CD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значимых трудовых функций</w:t>
            </w:r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988" w:type="dxa"/>
          </w:tcPr>
          <w:p w:rsidR="00A956AA" w:rsidRPr="00231526" w:rsidRDefault="00A956AA" w:rsidP="00CD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трудовых функций в единицы профессионального стандарта и привязка каждой единицы к соответствующему перечню необходимых знаний, навыков</w:t>
            </w:r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988" w:type="dxa"/>
          </w:tcPr>
          <w:p w:rsidR="00A956AA" w:rsidRPr="00231526" w:rsidRDefault="00A956AA" w:rsidP="0038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иных требований к </w:t>
            </w:r>
            <w:r w:rsidR="00380E9D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 в разрезе квалификационных уровней.</w:t>
            </w:r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26" w:rsidTr="00231526">
        <w:tc>
          <w:tcPr>
            <w:tcW w:w="851" w:type="dxa"/>
          </w:tcPr>
          <w:p w:rsidR="00231526" w:rsidRPr="00231526" w:rsidRDefault="00231526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88" w:type="dxa"/>
          </w:tcPr>
          <w:p w:rsidR="00231526" w:rsidRPr="00231526" w:rsidRDefault="00231526" w:rsidP="00CD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содержание</w:t>
            </w:r>
            <w:r w:rsidR="00A956AA">
              <w:rPr>
                <w:rFonts w:ascii="Times New Roman" w:hAnsi="Times New Roman" w:cs="Times New Roman"/>
              </w:rPr>
              <w:t xml:space="preserve"> в соответствие с макетом профессионального стандарта</w:t>
            </w:r>
          </w:p>
        </w:tc>
        <w:tc>
          <w:tcPr>
            <w:tcW w:w="3191" w:type="dxa"/>
          </w:tcPr>
          <w:p w:rsidR="00231526" w:rsidRPr="00231526" w:rsidRDefault="00831A43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CB3020">
              <w:rPr>
                <w:rFonts w:ascii="Times New Roman" w:hAnsi="Times New Roman" w:cs="Times New Roman"/>
              </w:rPr>
              <w:t xml:space="preserve"> кв. 2017</w:t>
            </w:r>
            <w:r w:rsidR="00A95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88" w:type="dxa"/>
          </w:tcPr>
          <w:p w:rsidR="00A956AA" w:rsidRPr="00231526" w:rsidRDefault="00A956AA" w:rsidP="00CD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Профессионально-общественная экспертиза</w:t>
            </w:r>
          </w:p>
        </w:tc>
        <w:tc>
          <w:tcPr>
            <w:tcW w:w="3191" w:type="dxa"/>
            <w:vMerge w:val="restart"/>
          </w:tcPr>
          <w:p w:rsidR="00A956AA" w:rsidRPr="00231526" w:rsidRDefault="00831A43" w:rsidP="00CB3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956AA">
              <w:rPr>
                <w:rFonts w:ascii="Times New Roman" w:hAnsi="Times New Roman" w:cs="Times New Roman"/>
              </w:rPr>
              <w:t xml:space="preserve"> кв. 201</w:t>
            </w:r>
            <w:r w:rsidR="00CB3020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A95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956AA" w:rsidTr="00231526">
        <w:tc>
          <w:tcPr>
            <w:tcW w:w="851" w:type="dxa"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88" w:type="dxa"/>
          </w:tcPr>
          <w:p w:rsidR="00A956AA" w:rsidRPr="00CD398E" w:rsidRDefault="00A956AA" w:rsidP="00CD398E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D398E">
              <w:rPr>
                <w:rFonts w:ascii="Times New Roman" w:hAnsi="Times New Roman" w:cs="Times New Roman"/>
              </w:rPr>
              <w:t>Согласование профессионального стандарта</w:t>
            </w:r>
            <w:r w:rsidR="00CD398E" w:rsidRPr="00CD398E">
              <w:rPr>
                <w:rFonts w:ascii="Times New Roman" w:hAnsi="Times New Roman" w:cs="Times New Roman"/>
              </w:rPr>
              <w:t xml:space="preserve"> с саморегулируемыми организациями арбитражных управляющих, </w:t>
            </w:r>
            <w:r w:rsidR="00CD3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федеральным</w:t>
            </w:r>
            <w:r w:rsidR="00CD398E" w:rsidRPr="00CD3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</w:t>
            </w:r>
            <w:r w:rsidR="00CD3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</w:t>
            </w:r>
            <w:r w:rsidR="00CD398E" w:rsidRPr="00CD3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исполнительной власти, уполномоченный Правительством Российской Федерации на осуществление функций по контролю (надзору) за деятельностью саморегулируемых организаций арбитражных управляющих, </w:t>
            </w:r>
            <w:r w:rsidR="00CD3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федеральным</w:t>
            </w:r>
            <w:r w:rsidR="00CD398E" w:rsidRPr="00CD3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</w:t>
            </w:r>
            <w:r w:rsidR="00CD3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</w:t>
            </w:r>
            <w:r w:rsidR="00CD398E" w:rsidRPr="00CD3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исполнительной власти, уполномоченный Правительством Российской Федерации на осуществление функций по выработке государственной политики и нормативно-правовому регулированию в сфере несостоятельности (банкротства) и финансового оздоровления</w:t>
            </w:r>
            <w:r w:rsidR="00380E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советом по профессиональным квалификациям.</w:t>
            </w:r>
            <w:proofErr w:type="gramEnd"/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6AA" w:rsidTr="00231526">
        <w:tc>
          <w:tcPr>
            <w:tcW w:w="851" w:type="dxa"/>
          </w:tcPr>
          <w:p w:rsidR="00A956AA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88" w:type="dxa"/>
          </w:tcPr>
          <w:p w:rsidR="00A956AA" w:rsidRPr="00CD398E" w:rsidRDefault="00A956AA" w:rsidP="00CD398E">
            <w:pPr>
              <w:rPr>
                <w:rFonts w:ascii="Times New Roman" w:hAnsi="Times New Roman" w:cs="Times New Roman"/>
              </w:rPr>
            </w:pPr>
            <w:r w:rsidRPr="00CD398E">
              <w:rPr>
                <w:rFonts w:ascii="Times New Roman" w:hAnsi="Times New Roman" w:cs="Times New Roman"/>
              </w:rPr>
              <w:t>Представление проекта в Министерство труда и социальной защиты Российской Федерации</w:t>
            </w:r>
          </w:p>
        </w:tc>
        <w:tc>
          <w:tcPr>
            <w:tcW w:w="3191" w:type="dxa"/>
            <w:vMerge/>
          </w:tcPr>
          <w:p w:rsidR="00A956AA" w:rsidRPr="00231526" w:rsidRDefault="00A956AA" w:rsidP="00CD3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6C5" w:rsidRPr="00D926C5" w:rsidRDefault="00D926C5" w:rsidP="00CD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926C5" w:rsidRPr="00D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9A"/>
    <w:rsid w:val="00231526"/>
    <w:rsid w:val="00380E9D"/>
    <w:rsid w:val="00413A57"/>
    <w:rsid w:val="00590F9A"/>
    <w:rsid w:val="00627A19"/>
    <w:rsid w:val="007F5433"/>
    <w:rsid w:val="00816DF2"/>
    <w:rsid w:val="00831A43"/>
    <w:rsid w:val="00A956AA"/>
    <w:rsid w:val="00CB3020"/>
    <w:rsid w:val="00CD398E"/>
    <w:rsid w:val="00D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Коста Алина Владимировна</cp:lastModifiedBy>
  <cp:revision>4</cp:revision>
  <dcterms:created xsi:type="dcterms:W3CDTF">2017-07-12T18:05:00Z</dcterms:created>
  <dcterms:modified xsi:type="dcterms:W3CDTF">2017-07-20T10:38:00Z</dcterms:modified>
</cp:coreProperties>
</file>