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23" w:rsidRDefault="00FE2023" w:rsidP="00FE2023">
      <w:pPr>
        <w:pStyle w:val="a5"/>
        <w:pageBreakBefore/>
        <w:shd w:val="clear" w:color="auto" w:fill="FFFFFF"/>
        <w:tabs>
          <w:tab w:val="left" w:pos="1134"/>
        </w:tabs>
        <w:spacing w:after="120"/>
        <w:ind w:left="0" w:firstLine="709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Приложение 2</w:t>
      </w:r>
    </w:p>
    <w:p w:rsidR="00FE2023" w:rsidRPr="00A66C76" w:rsidRDefault="00FE2023" w:rsidP="00FE2023">
      <w:pPr>
        <w:autoSpaceDE w:val="0"/>
        <w:autoSpaceDN w:val="0"/>
        <w:adjustRightInd w:val="0"/>
        <w:rPr>
          <w:b/>
        </w:rPr>
      </w:pPr>
      <w:r w:rsidRPr="00FE2023">
        <w:rPr>
          <w:b/>
        </w:rPr>
        <w:t xml:space="preserve">План-график актуализации профессионального стандарта </w:t>
      </w:r>
      <w:r w:rsidRPr="00A66C76">
        <w:rPr>
          <w:rFonts w:eastAsiaTheme="minorHAnsi"/>
          <w:b/>
          <w:lang w:eastAsia="en-US"/>
        </w:rPr>
        <w:t>«Инженер-технолог по изготовлению космических аппаратов и систем»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7886"/>
        <w:gridCol w:w="1344"/>
      </w:tblGrid>
      <w:tr w:rsidR="00FE2023" w:rsidTr="000A2CD8">
        <w:trPr>
          <w:trHeight w:val="393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FE2023">
            <w:pPr>
              <w:jc w:val="center"/>
            </w:pPr>
            <w:r>
              <w:t>№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FE2023">
            <w:pPr>
              <w:jc w:val="center"/>
            </w:pPr>
            <w:r>
              <w:t>Наименование работ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FE2023">
            <w:pPr>
              <w:jc w:val="center"/>
            </w:pPr>
            <w:r>
              <w:t>Срок</w:t>
            </w:r>
          </w:p>
        </w:tc>
      </w:tr>
      <w:tr w:rsidR="00FE2023" w:rsidTr="000A2CD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23" w:rsidRDefault="00FE2023" w:rsidP="00FE20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FE2023" w:rsidP="00C67CBC">
            <w:pPr>
              <w:jc w:val="both"/>
            </w:pPr>
            <w:r>
              <w:t xml:space="preserve">Подготовка </w:t>
            </w:r>
            <w:r w:rsidR="00C67CBC">
              <w:t>актуализации</w:t>
            </w:r>
            <w:r>
              <w:t xml:space="preserve"> проекта ПС: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23" w:rsidRDefault="00FE2023">
            <w:pPr>
              <w:jc w:val="center"/>
            </w:pPr>
          </w:p>
        </w:tc>
      </w:tr>
      <w:tr w:rsidR="00FE2023" w:rsidTr="000A2CD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23" w:rsidRDefault="00FE2023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FE2023" w:rsidP="00A66C76">
            <w:pPr>
              <w:autoSpaceDE w:val="0"/>
              <w:autoSpaceDN w:val="0"/>
              <w:adjustRightInd w:val="0"/>
            </w:pPr>
            <w:r>
              <w:t>1.1. Формирование экспертной группы по</w:t>
            </w:r>
            <w:r w:rsidR="00A66C76">
              <w:t xml:space="preserve"> актуализации</w:t>
            </w:r>
            <w:r>
              <w:t xml:space="preserve">  профессионального стандарта </w:t>
            </w:r>
            <w:r w:rsidR="00A66C76" w:rsidRPr="00A66C76">
              <w:rPr>
                <w:rFonts w:eastAsiaTheme="minorHAnsi"/>
                <w:lang w:eastAsia="en-US"/>
              </w:rPr>
              <w:t>«Инженер-технолог по изготовлению космических аппаратов и систем»</w:t>
            </w:r>
            <w:r>
              <w:t>, состоящей из: экспертов в области профессиональной деятельности ПС; специалистов в области управления персоналом; специалистов в области обучения и развития персонала; специалистов в области организации и нормирования труда; специалистов в области охраны труда; специалистов в области качества.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A66C76">
            <w:pPr>
              <w:jc w:val="center"/>
            </w:pPr>
            <w:r>
              <w:t>1</w:t>
            </w:r>
            <w:r w:rsidR="00FE2023">
              <w:t>6.05.2017</w:t>
            </w:r>
          </w:p>
        </w:tc>
      </w:tr>
      <w:tr w:rsidR="00FE2023" w:rsidTr="000A2CD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23" w:rsidRDefault="00FE2023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FE2023" w:rsidP="00C67CBC">
            <w:pPr>
              <w:jc w:val="both"/>
            </w:pPr>
            <w:r>
              <w:t xml:space="preserve">1.2. Проведение установочного совещания с членами экспертной группы по </w:t>
            </w:r>
            <w:r w:rsidR="00C67CBC">
              <w:t>актуализации</w:t>
            </w:r>
            <w:r>
              <w:t xml:space="preserve"> ПС.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C67CBC">
            <w:pPr>
              <w:jc w:val="center"/>
            </w:pPr>
            <w:r>
              <w:t>19</w:t>
            </w:r>
            <w:r w:rsidR="00FE2023">
              <w:t>.05.2017</w:t>
            </w:r>
          </w:p>
        </w:tc>
      </w:tr>
      <w:tr w:rsidR="00FE2023" w:rsidTr="000A2CD8">
        <w:trPr>
          <w:trHeight w:val="50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23" w:rsidRDefault="00FE2023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FE2023">
            <w:pPr>
              <w:jc w:val="both"/>
            </w:pPr>
            <w:r>
              <w:t>1.3. Подача уведомления в Министерство труда и социальной защиты РФ (далее – Минтруд России) о</w:t>
            </w:r>
            <w:r w:rsidR="00C67CBC">
              <w:t>б актуализации</w:t>
            </w:r>
            <w:r>
              <w:t xml:space="preserve"> проекта ПС по рекомендуемому образцу, предусмотренному приложением № 1 к Методическим рекомендациям</w:t>
            </w:r>
            <w:r>
              <w:rPr>
                <w:vertAlign w:val="superscript"/>
              </w:rPr>
              <w:footnoteReference w:id="1"/>
            </w:r>
            <w: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3" w:rsidRDefault="00C67CBC">
            <w:pPr>
              <w:jc w:val="center"/>
            </w:pPr>
            <w:r>
              <w:t>23.06</w:t>
            </w:r>
            <w:r w:rsidR="00FE2023">
              <w:t>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jc w:val="both"/>
            </w:pPr>
            <w:r>
              <w:t>1.4. Проведение анализа нормативной, методической, учебной, технологической документации в области тематики ПС, а также по отдельным трудовым функциям специалистов в этой области.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jc w:val="center"/>
            </w:pPr>
          </w:p>
        </w:tc>
      </w:tr>
      <w:tr w:rsidR="000A2CD8" w:rsidTr="00A93C5C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/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jc w:val="both"/>
            </w:pPr>
            <w:r>
              <w:t>1.5. Проведение анализа тарифно-квалификационных характеристик, содержащихся в ЕТКС; нормативных правовых актов, государственных стандартов и иных организационно-распорядительных документов, в которых определены требования к квалификации по профессиям, должностям, специальностям по виду профессиональной деятельности, соответствующему разрабатываемому проекту ПС.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jc w:val="center"/>
            </w:pPr>
          </w:p>
        </w:tc>
      </w:tr>
      <w:tr w:rsidR="000A2CD8" w:rsidTr="00A93C5C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/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Корректировка существующих версий  версии проекта ПС.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center"/>
            </w:pPr>
            <w:r>
              <w:t>22.05.2017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/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Обсуждение первичной версии проекта ПС, ее доработка в соответствии с поступившими замечаниями и предложениями.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C67CBC">
            <w:pPr>
              <w:jc w:val="center"/>
            </w:pPr>
            <w:r>
              <w:t>22.05.2017</w:t>
            </w:r>
          </w:p>
        </w:tc>
      </w:tr>
      <w:tr w:rsidR="000A2CD8" w:rsidTr="00A93C5C">
        <w:trPr>
          <w:trHeight w:val="38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Проведение профессионально-общественного обсуждения</w:t>
            </w:r>
            <w:r>
              <w:rPr>
                <w:vertAlign w:val="superscript"/>
              </w:rPr>
              <w:footnoteReference w:id="2"/>
            </w:r>
            <w:r>
              <w:t xml:space="preserve"> проекта ПС, предполагающего: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C67CBC">
            <w:pPr>
              <w:jc w:val="center"/>
            </w:pPr>
            <w:r>
              <w:t>22.05.2017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 xml:space="preserve">4.1. Формирование репрезентативной выборки организаций (не менее 10), расположенных в разных федеральных округах РФ, для проведения экспертизы проекта ПС.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center"/>
            </w:pPr>
            <w:r>
              <w:t>15.06.2017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4.2. Составление анкеты для проведения опроса работников профильных организаций.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jc w:val="center"/>
            </w:pP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4.3. Проведение опроса работников организаций (не менее 50 человек, представляющих руководителей организаций и ведущих специалистов соответствующего профиля).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C67CBC">
            <w:pPr>
              <w:jc w:val="center"/>
            </w:pPr>
            <w:r>
              <w:t>16.05.2017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4.4. Размещение проекта ПС</w:t>
            </w:r>
            <w:r>
              <w:rPr>
                <w:bCs/>
              </w:rPr>
              <w:t xml:space="preserve"> на сайте разработчика (на период не менее 7 дней).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center"/>
            </w:pPr>
            <w:r>
              <w:t>30.05.2017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4.5. Подготовка материалов о ходе разработки ПС для размещения в СМИ.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C67CBC">
            <w:pPr>
              <w:jc w:val="center"/>
            </w:pPr>
            <w:r>
              <w:t>30.05.2017 – 15.06.2017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>4.6. Размещение информации о ходе разработки проекта ПС в СМИ (не менее 1 публикации), в специальных (отраслевых) изданиях (не менее 1 публикации).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0A2CD8">
            <w:pPr>
              <w:jc w:val="center"/>
            </w:pPr>
            <w:r>
              <w:t>26.05.2017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t xml:space="preserve">4.7. </w:t>
            </w:r>
            <w:proofErr w:type="gramStart"/>
            <w:r>
              <w:t xml:space="preserve">Проведение публичных мероприятий: конференций (включая </w:t>
            </w:r>
            <w:r>
              <w:lastRenderedPageBreak/>
              <w:t>интернет-конференции), круглых столов, семинаров и других мероприятий для представителей профессионального сообщества, работодателей, объединений работодателей, федеральных органов исполнительной власти и органов исполнительной власти субъектов Российской Федерации, включая итоговое мероприятие для обсуждения результатов работы с общей численностью участников не менее 50 (пятидесяти) человек, с участием представителей Совета по профессиональным квалификациям в ракетной технике и космической деятельности, крупнейших</w:t>
            </w:r>
            <w:proofErr w:type="gramEnd"/>
            <w:r>
              <w:t xml:space="preserve"> объединений работодателей, профсоюзов, профессиональных сообществ.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0A2CD8">
            <w:pPr>
              <w:jc w:val="center"/>
            </w:pPr>
            <w:r>
              <w:lastRenderedPageBreak/>
              <w:t>05.06.2017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rPr>
                <w:bCs/>
              </w:rPr>
              <w:t>4.8. Сбор, анализ и систематизация  замечаний и предложений по совершенствованию проекта ПС.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center"/>
            </w:pPr>
            <w:r>
              <w:t>15.06.2017 - 24.08.2017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</w:pPr>
            <w:r>
              <w:rPr>
                <w:bCs/>
              </w:rPr>
              <w:t>Доработка и согласование проекта ПС в соответствии с полученными в ходе профессионально-общественного обсуждения замечаниями и предложениями, которое включает согласование проекта ПС с ведущими профильными профессиональными ассоциациями и профессиональными союзами.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0A2CD8">
            <w:pPr>
              <w:jc w:val="center"/>
            </w:pPr>
            <w:r>
              <w:t>01.06.2017 - 12.07.2017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>
            <w:pPr>
              <w:ind w:left="113"/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Подготовка пояснительной записки к проекту ПС, содержащей: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основные этапы разработки проекта ПС;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состав экспертной группы, участвующей в разработке проекта ПС;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сведения об организациях, принявших участие в разработке и согласовании проекта ПС;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публикации о ходе разработки ПС в СМИ, профильных изданиях, информационно-телекоммуникационной сети «Интернет»;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список экспертов-представителей профильных работодателей, их объединений, профессиональных сообществ, профессиональных союзов, федеральных органов исполнительной власти, органов исполнительной власти субъектов Российской Федерации, принявших участие в обсуждении проекта ПС;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информация о результатах проведения профессионально-общественного обсуждения проекта ПС;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результаты анализа и систематизации полученных замечаний и предложений, обоснования их учета или отклонения при доработке проекта ПС;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>- документы, подтверждающие согласование проекта ПС с ведущими профильными профессиональными ассоциациями и профессиональными союзами;</w:t>
            </w:r>
          </w:p>
          <w:p w:rsidR="000A2CD8" w:rsidRDefault="000A2CD8">
            <w:pPr>
              <w:jc w:val="both"/>
            </w:pPr>
            <w:r>
              <w:rPr>
                <w:bCs/>
              </w:rPr>
              <w:t>- электронные версии документации на электронном носителе (CD-диск или USB-</w:t>
            </w:r>
            <w:proofErr w:type="spellStart"/>
            <w:r>
              <w:rPr>
                <w:bCs/>
              </w:rPr>
              <w:t>Flash</w:t>
            </w:r>
            <w:proofErr w:type="spellEnd"/>
            <w:r>
              <w:rPr>
                <w:bCs/>
              </w:rPr>
              <w:t>-носитель), выполненные в программной среде не ниже уровня WORD 6.0.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0A2CD8">
            <w:pPr>
              <w:jc w:val="center"/>
            </w:pPr>
            <w:r>
              <w:t>21.07.2017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shd w:val="clear" w:color="auto" w:fill="FFFFFF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Представление в Минтруд России комплекта документов:</w:t>
            </w:r>
          </w:p>
          <w:p w:rsidR="000A2CD8" w:rsidRDefault="000A2CD8">
            <w:pPr>
              <w:shd w:val="clear" w:color="auto" w:fill="FFFFFF"/>
              <w:suppressAutoHyphens/>
              <w:jc w:val="both"/>
            </w:pPr>
            <w:r>
              <w:rPr>
                <w:bCs/>
              </w:rPr>
              <w:t>- п</w:t>
            </w:r>
            <w:r>
              <w:t>роект ПС, доработанный с учетом замечаний/предложений, полученных, в том числе, в ходе профессионально-общественного обсуждения и оформленный в соответствии с макетом</w:t>
            </w:r>
            <w:r>
              <w:rPr>
                <w:vertAlign w:val="superscript"/>
              </w:rPr>
              <w:footnoteReference w:id="3"/>
            </w:r>
            <w:r>
              <w:t>;</w:t>
            </w:r>
          </w:p>
          <w:p w:rsidR="000A2CD8" w:rsidRDefault="000A2CD8">
            <w:pPr>
              <w:jc w:val="both"/>
              <w:rPr>
                <w:bCs/>
              </w:rPr>
            </w:pPr>
            <w:r>
              <w:t>- пояснительную записку.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0A2CD8">
            <w:pPr>
              <w:jc w:val="center"/>
            </w:pPr>
            <w:r>
              <w:t>28.07.2017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Сопровождение проекта ПС при его рассмотрении Национальным советом при Президенте РФ по профессиональным квалификациям (далее - Национальный совет).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 w:rsidP="000A2CD8">
            <w:pPr>
              <w:jc w:val="center"/>
            </w:pPr>
            <w:r>
              <w:t>15.08.2017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Доработка проекта ПС в случае наличия замечаний со стороны Минтруда </w:t>
            </w:r>
            <w:r>
              <w:rPr>
                <w:bCs/>
              </w:rPr>
              <w:lastRenderedPageBreak/>
              <w:t>России или Национального совета, повторное представление проекта ПС на согласование в Минтруд России.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center"/>
            </w:pPr>
            <w:r>
              <w:lastRenderedPageBreak/>
              <w:t>09.2017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2943E1">
            <w:pPr>
              <w:jc w:val="both"/>
              <w:rPr>
                <w:bCs/>
              </w:rPr>
            </w:pPr>
            <w:r>
              <w:rPr>
                <w:bCs/>
              </w:rPr>
              <w:t>Сопровождение проекта ПС при его рассмотрении Национальным советом при Президенте РФ по профессиональным квалификациям (далее - Национальный совет).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center"/>
            </w:pPr>
            <w:r>
              <w:t>Октябрь 2017</w:t>
            </w:r>
          </w:p>
        </w:tc>
      </w:tr>
      <w:tr w:rsidR="000A2CD8" w:rsidTr="00A93C5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0A2CD8" w:rsidP="00FE20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8" w:rsidRDefault="002943E1">
            <w:pPr>
              <w:jc w:val="both"/>
              <w:rPr>
                <w:bCs/>
              </w:rPr>
            </w:pPr>
            <w:r>
              <w:rPr>
                <w:bCs/>
              </w:rPr>
              <w:t>Доработка проекта ПС в случае наличия замечаний со стороны Минтруда России или Национального совета, повторное представление проекта ПС на согласование в Минтруд России.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D8" w:rsidRDefault="000A2CD8">
            <w:pPr>
              <w:jc w:val="center"/>
            </w:pPr>
            <w:r>
              <w:t>Октябрь 2017</w:t>
            </w:r>
          </w:p>
        </w:tc>
      </w:tr>
    </w:tbl>
    <w:p w:rsidR="00FE2023" w:rsidRDefault="00FE2023" w:rsidP="00FE2023">
      <w:pPr>
        <w:spacing w:line="276" w:lineRule="auto"/>
        <w:jc w:val="both"/>
      </w:pPr>
    </w:p>
    <w:p w:rsidR="00FE2023" w:rsidRDefault="00FE2023" w:rsidP="00FE2023">
      <w:pPr>
        <w:spacing w:line="276" w:lineRule="auto"/>
        <w:jc w:val="both"/>
      </w:pPr>
      <w:r>
        <w:t>В настоящем документе применены следующие сокращения:</w:t>
      </w:r>
    </w:p>
    <w:p w:rsidR="00FE2023" w:rsidRDefault="00FE2023" w:rsidP="00FE2023">
      <w:pPr>
        <w:spacing w:line="276" w:lineRule="auto"/>
        <w:jc w:val="both"/>
      </w:pPr>
      <w:r>
        <w:t>ЕТКС - Единый тарифно-квалификационный справочник работ и профессий рабочих;</w:t>
      </w:r>
    </w:p>
    <w:p w:rsidR="00FE2023" w:rsidRDefault="00FE2023" w:rsidP="00FE2023">
      <w:pPr>
        <w:spacing w:line="276" w:lineRule="auto"/>
        <w:jc w:val="both"/>
      </w:pPr>
      <w:r>
        <w:t>ПС – профессиональный стандарт;</w:t>
      </w:r>
    </w:p>
    <w:p w:rsidR="00FE2023" w:rsidRDefault="00FE2023" w:rsidP="00FE2023">
      <w:pPr>
        <w:spacing w:line="276" w:lineRule="auto"/>
        <w:jc w:val="both"/>
      </w:pPr>
      <w:r>
        <w:t>СМИ – средства массовой информации;</w:t>
      </w:r>
    </w:p>
    <w:p w:rsidR="00FE2023" w:rsidRDefault="00FE2023" w:rsidP="00FE2023">
      <w:pPr>
        <w:spacing w:line="276" w:lineRule="auto"/>
        <w:jc w:val="both"/>
      </w:pPr>
      <w:r>
        <w:t>УИВТ – управление информатики и вычислительной техники;</w:t>
      </w:r>
    </w:p>
    <w:p w:rsidR="00FE2023" w:rsidRDefault="00FE2023" w:rsidP="00FE2023">
      <w:pPr>
        <w:spacing w:line="276" w:lineRule="auto"/>
        <w:jc w:val="both"/>
      </w:pPr>
      <w:r>
        <w:t>УКМ – управление коммуникационного менеджмента;</w:t>
      </w:r>
    </w:p>
    <w:p w:rsidR="00FE2023" w:rsidRDefault="00FE2023" w:rsidP="00FE2023">
      <w:pPr>
        <w:spacing w:line="276" w:lineRule="auto"/>
        <w:jc w:val="both"/>
      </w:pPr>
      <w:r>
        <w:t>УП – управление персоналом;</w:t>
      </w:r>
    </w:p>
    <w:p w:rsidR="00FE2023" w:rsidRDefault="00FE2023" w:rsidP="00FE2023">
      <w:pPr>
        <w:jc w:val="both"/>
      </w:pPr>
      <w:r>
        <w:t>ЭГ – экспертная группа.</w:t>
      </w: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FE2023" w:rsidRDefault="00FE2023" w:rsidP="00FE2023">
      <w:pPr>
        <w:pStyle w:val="a5"/>
        <w:shd w:val="clear" w:color="auto" w:fill="FFFFFF"/>
        <w:tabs>
          <w:tab w:val="left" w:pos="1134"/>
        </w:tabs>
        <w:spacing w:after="120"/>
        <w:ind w:left="0" w:firstLine="709"/>
        <w:jc w:val="center"/>
        <w:rPr>
          <w:b/>
          <w:sz w:val="24"/>
          <w:szCs w:val="24"/>
        </w:rPr>
      </w:pPr>
    </w:p>
    <w:p w:rsidR="008501B7" w:rsidRDefault="008501B7"/>
    <w:sectPr w:rsidR="008501B7" w:rsidSect="00B4339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BC" w:rsidRDefault="00C67CBC" w:rsidP="00FE2023">
      <w:r>
        <w:separator/>
      </w:r>
    </w:p>
  </w:endnote>
  <w:endnote w:type="continuationSeparator" w:id="0">
    <w:p w:rsidR="00C67CBC" w:rsidRDefault="00C67CBC" w:rsidP="00F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BC" w:rsidRDefault="00C67CBC" w:rsidP="00FE2023">
      <w:r>
        <w:separator/>
      </w:r>
    </w:p>
  </w:footnote>
  <w:footnote w:type="continuationSeparator" w:id="0">
    <w:p w:rsidR="00C67CBC" w:rsidRDefault="00C67CBC" w:rsidP="00FE2023">
      <w:r>
        <w:continuationSeparator/>
      </w:r>
    </w:p>
  </w:footnote>
  <w:footnote w:id="1">
    <w:p w:rsidR="00C67CBC" w:rsidRDefault="00C67CBC" w:rsidP="00FE2023">
      <w:pPr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Приказ Минтруда России от 29 апреля 2013 г. № 170н «Об утверждении методических рекомендаций по разработке профессионального стандарта».</w:t>
      </w:r>
    </w:p>
    <w:p w:rsidR="00C67CBC" w:rsidRDefault="00C67CBC" w:rsidP="00FE2023">
      <w:pPr>
        <w:pStyle w:val="a3"/>
        <w:jc w:val="both"/>
      </w:pPr>
    </w:p>
  </w:footnote>
  <w:footnote w:id="2">
    <w:p w:rsidR="000A2CD8" w:rsidRDefault="000A2CD8" w:rsidP="00FE2023">
      <w:pPr>
        <w:pStyle w:val="a3"/>
        <w:jc w:val="both"/>
      </w:pPr>
      <w:r>
        <w:rPr>
          <w:rStyle w:val="a6"/>
        </w:rPr>
        <w:footnoteRef/>
      </w:r>
      <w:r>
        <w:t xml:space="preserve"> Приказ Минтруда России от 30 сентября 2014 г. № 671н «Об утверждении методических рекомендаций по проведению профессионально-общественного обсуждения и организации экспертизы проектов профессиональных стандартов».</w:t>
      </w:r>
    </w:p>
  </w:footnote>
  <w:footnote w:id="3">
    <w:p w:rsidR="000A2CD8" w:rsidRDefault="000A2CD8" w:rsidP="00FE2023">
      <w:pPr>
        <w:pStyle w:val="a3"/>
        <w:jc w:val="both"/>
      </w:pPr>
      <w:r>
        <w:rPr>
          <w:rStyle w:val="a6"/>
        </w:rPr>
        <w:footnoteRef/>
      </w:r>
      <w:r>
        <w:t xml:space="preserve"> Приказы Минтруда России от 12 апреля 2013 г. № 147н «Об утверждении Макета профессионального стандарта», от 29 сентября 2014 г. № 665н «О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№ 147н».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0AC"/>
    <w:multiLevelType w:val="multilevel"/>
    <w:tmpl w:val="B24ECB32"/>
    <w:lvl w:ilvl="0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3.%2"/>
      <w:lvlJc w:val="left"/>
      <w:pPr>
        <w:ind w:left="473" w:hanging="360"/>
      </w:pPr>
    </w:lvl>
    <w:lvl w:ilvl="2">
      <w:start w:val="1"/>
      <w:numFmt w:val="decimal"/>
      <w:isLgl/>
      <w:lvlText w:val="%1.%2.%3."/>
      <w:lvlJc w:val="left"/>
      <w:pPr>
        <w:ind w:left="833" w:hanging="720"/>
      </w:pPr>
    </w:lvl>
    <w:lvl w:ilvl="3">
      <w:start w:val="1"/>
      <w:numFmt w:val="decimal"/>
      <w:isLgl/>
      <w:lvlText w:val="%1.%2.%3.%4."/>
      <w:lvlJc w:val="left"/>
      <w:pPr>
        <w:ind w:left="833" w:hanging="720"/>
      </w:pPr>
    </w:lvl>
    <w:lvl w:ilvl="4">
      <w:start w:val="1"/>
      <w:numFmt w:val="decimal"/>
      <w:isLgl/>
      <w:lvlText w:val="%1.%2.%3.%4.%5."/>
      <w:lvlJc w:val="left"/>
      <w:pPr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ind w:left="1193" w:hanging="1080"/>
      </w:pPr>
    </w:lvl>
    <w:lvl w:ilvl="6">
      <w:start w:val="1"/>
      <w:numFmt w:val="decimal"/>
      <w:isLgl/>
      <w:lvlText w:val="%1.%2.%3.%4.%5.%6.%7."/>
      <w:lvlJc w:val="left"/>
      <w:pPr>
        <w:ind w:left="1553" w:hanging="1440"/>
      </w:p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2"/>
    <w:rsid w:val="000A2CD8"/>
    <w:rsid w:val="002943E1"/>
    <w:rsid w:val="008501B7"/>
    <w:rsid w:val="009F7072"/>
    <w:rsid w:val="00A66C76"/>
    <w:rsid w:val="00B43395"/>
    <w:rsid w:val="00C67CBC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202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20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6">
    <w:name w:val="footnote reference"/>
    <w:semiHidden/>
    <w:unhideWhenUsed/>
    <w:rsid w:val="00FE2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202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20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6">
    <w:name w:val="footnote reference"/>
    <w:semiHidden/>
    <w:unhideWhenUsed/>
    <w:rsid w:val="00FE2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Катерина Геннадьевна</dc:creator>
  <cp:lastModifiedBy>Аксенова Катерина Геннадьевна</cp:lastModifiedBy>
  <cp:revision>3</cp:revision>
  <dcterms:created xsi:type="dcterms:W3CDTF">2017-06-13T10:41:00Z</dcterms:created>
  <dcterms:modified xsi:type="dcterms:W3CDTF">2017-06-13T10:51:00Z</dcterms:modified>
</cp:coreProperties>
</file>